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Special Session Summary (Scope and Objectives):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Special Session will focus on the role of geothermal energy and subsurface resources in the sustainable energy transition, with attention to both shallow and deep geothermal resources, groundwater-based geothermal applications, subsurface thermal energy storage, geothermal resource exploration and management, and the energy-water nexus.</w:t>
      </w:r>
    </w:p>
    <w:p w:rsidR="00000000" w:rsidDel="00000000" w:rsidP="00000000" w:rsidRDefault="00000000" w:rsidRPr="00000000" w14:paraId="00000004">
      <w:pPr>
        <w:rPr/>
      </w:pPr>
      <w:r w:rsidDel="00000000" w:rsidR="00000000" w:rsidRPr="00000000">
        <w:rPr>
          <w:rtl w:val="0"/>
        </w:rPr>
        <w:t xml:space="preserve">The session aims to bring together researchers, practitioners, geological surveys, public institutions and energy stakeholders working on geothermal energy, hydrogeology, geoenergy and integrated renewable energy systems. Contributions may address monitoring, modelling, hydrogeochemistry, microbiology, groundwater thermal management, geothermal potential assessment, urban aquifers, volcanic and island geothermal systems, and the integration of geothermal resources into broader renewable energy strategies.</w:t>
      </w:r>
    </w:p>
    <w:p w:rsidR="00000000" w:rsidDel="00000000" w:rsidP="00000000" w:rsidRDefault="00000000" w:rsidRPr="00000000" w14:paraId="00000005">
      <w:pPr>
        <w:rPr/>
      </w:pPr>
      <w:r w:rsidDel="00000000" w:rsidR="00000000" w:rsidRPr="00000000">
        <w:rPr>
          <w:rtl w:val="0"/>
        </w:rPr>
        <w:t xml:space="preserve">Particular emphasis will be placed on the sustainable management of the subsurface as a strategic resource for decarbonisation, climate adaptation and energy resilience. The session will also provide a forum to discuss scientific, technical and governance challenges associated with the deployment of geothermal solutions in different hydrogeological, urban, volcanic and island contexts.</w:t>
      </w:r>
    </w:p>
    <w:p w:rsidR="00000000" w:rsidDel="00000000" w:rsidP="00000000" w:rsidRDefault="00000000" w:rsidRPr="00000000" w14:paraId="00000006">
      <w:pPr>
        <w:rPr/>
      </w:pPr>
      <w:r w:rsidDel="00000000" w:rsidR="00000000" w:rsidRPr="00000000">
        <w:rPr>
          <w:rtl w:val="0"/>
        </w:rPr>
        <w:t xml:space="preserve">The objective is to strengthen the geothermal component of the conference and to foster an international discussion on how geothermal energy and subsurface management can contribute to a more resilient, efficient and sustainable energy transition.</w:t>
      </w:r>
    </w:p>
    <w:p w:rsidR="00000000" w:rsidDel="00000000" w:rsidP="00000000" w:rsidRDefault="00000000" w:rsidRPr="00000000" w14:paraId="0000000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