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4B84" w:rsidRDefault="000C4B84" w:rsidP="000C4B84">
      <w:pPr>
        <w:rPr>
          <w:b/>
          <w:u w:val="single"/>
          <w:lang w:val="en-US"/>
        </w:rPr>
      </w:pPr>
      <w:r w:rsidRPr="00E94AC3">
        <w:rPr>
          <w:b/>
          <w:u w:val="single"/>
          <w:lang w:val="en-US"/>
        </w:rPr>
        <w:t>Special Session Summary (Scope and Objectives)</w:t>
      </w:r>
      <w:r w:rsidRPr="00CB0EB7">
        <w:rPr>
          <w:b/>
          <w:u w:val="single"/>
          <w:lang w:val="en-US"/>
        </w:rPr>
        <w:t>:</w:t>
      </w:r>
    </w:p>
    <w:p w:rsidR="000C4B84" w:rsidRPr="00D80052" w:rsidRDefault="000C4B84" w:rsidP="000C4B84">
      <w:pPr>
        <w:jc w:val="both"/>
        <w:rPr>
          <w:lang w:val="en-US"/>
        </w:rPr>
      </w:pPr>
      <w:r w:rsidRPr="00D80052">
        <w:rPr>
          <w:lang w:val="en-US"/>
        </w:rPr>
        <w:t xml:space="preserve">The energy transition should not be understood solely as the replacement of fossil fuels with renewables, but as a historic opportunity to democratize access to energy and correct structural inequalities. This transformation is especially critical in electrically isolated systems like the Canary Islands, where historical dependence on imported fossil fuels creates high economic and environmental vulnerability. In these island territories, the figure of the "prosumer" and the deployment of distributed generation infrastructure not only break dependence on large, centralized industries but also serve as strategic tools for achieving energy sovereignty and granting real autonomy to small consumers. However, for this revolution to be a Just Transition, governance policies, led by organizations like the ITJ and aligned with the SDGs, must act as a social safety net to ensure that the most vulnerable groups—especially those exposed to the additional costs of insularity—are not left behind because of a lack of capital or training. Social and labor justice must be the central axis that transforms </w:t>
      </w:r>
      <w:proofErr w:type="spellStart"/>
      <w:r w:rsidRPr="00D80052">
        <w:rPr>
          <w:lang w:val="en-US"/>
        </w:rPr>
        <w:t>decarbonization</w:t>
      </w:r>
      <w:proofErr w:type="spellEnd"/>
      <w:r w:rsidRPr="00D80052">
        <w:rPr>
          <w:lang w:val="en-US"/>
        </w:rPr>
        <w:t xml:space="preserve"> into an engine of decent work, territorial resilience, and equity. Under this premise, the works presented in this section address this challenge from multiple disciplines, demonstrating that responding to the </w:t>
      </w:r>
      <w:proofErr w:type="spellStart"/>
      <w:r w:rsidRPr="00D80052">
        <w:rPr>
          <w:lang w:val="en-US"/>
        </w:rPr>
        <w:t>ecosocial</w:t>
      </w:r>
      <w:proofErr w:type="spellEnd"/>
      <w:r w:rsidRPr="00D80052">
        <w:rPr>
          <w:lang w:val="en-US"/>
        </w:rPr>
        <w:t xml:space="preserve"> crisis requires the convergence of knowledge, scientific dialogue, and social commitment. Their contributions not only analyze our island reality but also propose replicable solutions to collectively build a more just and sustainable future.</w:t>
      </w:r>
    </w:p>
    <w:p w:rsidR="00F54762" w:rsidRPr="000C4B84" w:rsidRDefault="000C4B84">
      <w:pPr>
        <w:rPr>
          <w:lang w:val="en-US"/>
        </w:rPr>
      </w:pPr>
      <w:bookmarkStart w:id="0" w:name="_GoBack"/>
      <w:bookmarkEnd w:id="0"/>
    </w:p>
    <w:sectPr w:rsidR="00F54762" w:rsidRPr="000C4B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B84"/>
    <w:rsid w:val="000A14C8"/>
    <w:rsid w:val="000C4B84"/>
    <w:rsid w:val="00D168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F5847F-8FB9-4878-AC3D-268E7918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B8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1382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2026-07-13T14:48:00Z</dcterms:created>
  <dcterms:modified xsi:type="dcterms:W3CDTF">2026-07-13T14:49:00Z</dcterms:modified>
</cp:coreProperties>
</file>